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2E" w:rsidRPr="00D82897" w:rsidRDefault="003232AA" w:rsidP="00765C93">
      <w:pPr>
        <w:jc w:val="center"/>
        <w:rPr>
          <w:sz w:val="24"/>
          <w:szCs w:val="28"/>
        </w:rPr>
      </w:pPr>
      <w:bookmarkStart w:id="0" w:name="_GoBack"/>
      <w:bookmarkEnd w:id="0"/>
      <w:r w:rsidRPr="00D82897">
        <w:rPr>
          <w:b/>
          <w:sz w:val="72"/>
          <w:u w:val="single"/>
        </w:rPr>
        <w:t xml:space="preserve">Road </w:t>
      </w:r>
      <w:r w:rsidR="00765C93" w:rsidRPr="00D82897">
        <w:rPr>
          <w:b/>
          <w:sz w:val="72"/>
          <w:u w:val="single"/>
        </w:rPr>
        <w:t>Safety at BGP</w:t>
      </w:r>
    </w:p>
    <w:p w:rsidR="00732DF4" w:rsidRDefault="00732DF4" w:rsidP="00732DF4">
      <w:pPr>
        <w:rPr>
          <w:sz w:val="28"/>
          <w:szCs w:val="28"/>
        </w:rPr>
      </w:pPr>
      <w:r>
        <w:rPr>
          <w:sz w:val="28"/>
          <w:szCs w:val="28"/>
        </w:rPr>
        <w:t>At Bathgate Park, the safety of our students is paramount.  For this reason, we would like to share some of ways you can help us keep our students safe</w:t>
      </w:r>
      <w:r w:rsidR="003232AA">
        <w:rPr>
          <w:sz w:val="28"/>
          <w:szCs w:val="28"/>
        </w:rPr>
        <w:t xml:space="preserve"> around the roads</w:t>
      </w:r>
      <w:r>
        <w:rPr>
          <w:sz w:val="28"/>
          <w:szCs w:val="28"/>
        </w:rPr>
        <w:t>.</w:t>
      </w: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4998"/>
        <w:gridCol w:w="4999"/>
      </w:tblGrid>
      <w:tr w:rsidR="00D82897" w:rsidTr="00732DF4">
        <w:trPr>
          <w:trHeight w:val="2013"/>
        </w:trPr>
        <w:tc>
          <w:tcPr>
            <w:tcW w:w="4998" w:type="dxa"/>
          </w:tcPr>
          <w:p w:rsidR="00732DF4" w:rsidRDefault="00732DF4" w:rsidP="0041114B">
            <w:pPr>
              <w:ind w:left="164"/>
              <w:rPr>
                <w:sz w:val="28"/>
                <w:szCs w:val="28"/>
              </w:rPr>
            </w:pPr>
            <w:r w:rsidRPr="0041114B">
              <w:rPr>
                <w:sz w:val="28"/>
                <w:szCs w:val="28"/>
              </w:rPr>
              <w:t>Use our drop of zone</w:t>
            </w:r>
            <w:r w:rsidR="0041114B">
              <w:rPr>
                <w:sz w:val="28"/>
                <w:szCs w:val="28"/>
              </w:rPr>
              <w:t xml:space="preserve"> to drop off and pick up children.  This is NOT a parking space so please if you need to bring your child in</w:t>
            </w:r>
            <w:r w:rsidR="00857040">
              <w:rPr>
                <w:sz w:val="28"/>
                <w:szCs w:val="28"/>
              </w:rPr>
              <w:t>,</w:t>
            </w:r>
            <w:r w:rsidR="0041114B">
              <w:rPr>
                <w:sz w:val="28"/>
                <w:szCs w:val="28"/>
              </w:rPr>
              <w:t xml:space="preserve"> park somewhere else.</w:t>
            </w:r>
          </w:p>
          <w:p w:rsidR="00D82897" w:rsidRDefault="00D82897" w:rsidP="0041114B">
            <w:pPr>
              <w:ind w:left="164"/>
              <w:rPr>
                <w:sz w:val="28"/>
                <w:szCs w:val="28"/>
              </w:rPr>
            </w:pPr>
          </w:p>
          <w:p w:rsidR="00D82897" w:rsidRDefault="00D82897" w:rsidP="0041114B">
            <w:pPr>
              <w:ind w:left="164"/>
              <w:rPr>
                <w:sz w:val="28"/>
                <w:szCs w:val="28"/>
              </w:rPr>
            </w:pPr>
          </w:p>
          <w:p w:rsidR="00D82897" w:rsidRPr="0041114B" w:rsidRDefault="00D82897" w:rsidP="0041114B">
            <w:pPr>
              <w:ind w:left="164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32DF4" w:rsidRDefault="00D82897" w:rsidP="00D828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2552065" cy="1314442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310_09091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331" cy="1319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897" w:rsidTr="00732DF4">
        <w:trPr>
          <w:trHeight w:val="2109"/>
        </w:trPr>
        <w:tc>
          <w:tcPr>
            <w:tcW w:w="4998" w:type="dxa"/>
          </w:tcPr>
          <w:p w:rsidR="0041114B" w:rsidRDefault="0041114B" w:rsidP="0041114B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Use the available parking spaces if you are bringing your child into the school.</w:t>
            </w:r>
          </w:p>
          <w:p w:rsidR="0041114B" w:rsidRDefault="0041114B" w:rsidP="0041114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Tonga Park Carpark (</w:t>
            </w:r>
            <w:proofErr w:type="spellStart"/>
            <w:r>
              <w:rPr>
                <w:sz w:val="28"/>
                <w:szCs w:val="28"/>
              </w:rPr>
              <w:t>otherside</w:t>
            </w:r>
            <w:proofErr w:type="spellEnd"/>
            <w:r>
              <w:rPr>
                <w:sz w:val="28"/>
                <w:szCs w:val="28"/>
              </w:rPr>
              <w:t xml:space="preserve"> of Dental Clinic)</w:t>
            </w:r>
          </w:p>
          <w:p w:rsidR="0041114B" w:rsidRDefault="00857040" w:rsidP="0041114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Macandrew</w:t>
            </w:r>
            <w:proofErr w:type="spellEnd"/>
            <w:r>
              <w:rPr>
                <w:sz w:val="28"/>
                <w:szCs w:val="28"/>
              </w:rPr>
              <w:t xml:space="preserve"> Road</w:t>
            </w:r>
            <w:r w:rsidR="0041114B">
              <w:rPr>
                <w:sz w:val="28"/>
                <w:szCs w:val="28"/>
              </w:rPr>
              <w:t xml:space="preserve"> Parking</w:t>
            </w:r>
          </w:p>
          <w:p w:rsidR="0041114B" w:rsidRDefault="0041114B" w:rsidP="0041114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Bathgate Park Angle Parks (These are nearly always available)</w:t>
            </w:r>
          </w:p>
          <w:p w:rsidR="0041114B" w:rsidRPr="0041114B" w:rsidRDefault="0041114B" w:rsidP="0041114B">
            <w:pPr>
              <w:pStyle w:val="ListParagraph"/>
              <w:ind w:left="644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41114B" w:rsidRDefault="00D82897" w:rsidP="00D828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NZ"/>
              </w:rPr>
              <w:drawing>
                <wp:inline distT="0" distB="0" distL="0" distR="0" wp14:anchorId="378806AC" wp14:editId="7874C3C1">
                  <wp:extent cx="1263129" cy="947324"/>
                  <wp:effectExtent l="5715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0310_09105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72921" cy="954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n-NZ"/>
              </w:rPr>
              <w:drawing>
                <wp:inline distT="0" distB="0" distL="0" distR="0" wp14:anchorId="6830A017" wp14:editId="2C7A7BB5">
                  <wp:extent cx="1482090" cy="1190374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0310_09065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493" cy="119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897" w:rsidTr="00732DF4">
        <w:trPr>
          <w:trHeight w:val="2109"/>
        </w:trPr>
        <w:tc>
          <w:tcPr>
            <w:tcW w:w="4998" w:type="dxa"/>
          </w:tcPr>
          <w:p w:rsidR="00732DF4" w:rsidRDefault="0041114B" w:rsidP="0073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use the school crossing to cross </w:t>
            </w:r>
            <w:proofErr w:type="spellStart"/>
            <w:r>
              <w:rPr>
                <w:sz w:val="28"/>
                <w:szCs w:val="28"/>
              </w:rPr>
              <w:t>Macandrew</w:t>
            </w:r>
            <w:proofErr w:type="spellEnd"/>
            <w:r>
              <w:rPr>
                <w:sz w:val="28"/>
                <w:szCs w:val="28"/>
              </w:rPr>
              <w:t xml:space="preserve"> Road.  Doing this </w:t>
            </w:r>
            <w:proofErr w:type="gramStart"/>
            <w:r>
              <w:rPr>
                <w:sz w:val="28"/>
                <w:szCs w:val="28"/>
              </w:rPr>
              <w:t>sets</w:t>
            </w:r>
            <w:proofErr w:type="gramEnd"/>
            <w:r>
              <w:rPr>
                <w:sz w:val="28"/>
                <w:szCs w:val="28"/>
              </w:rPr>
              <w:t xml:space="preserve"> a safe example to all our students.  Cars move fast and pay attention to the crossing and the monitors.</w:t>
            </w:r>
          </w:p>
          <w:p w:rsidR="00D82897" w:rsidRDefault="00D82897" w:rsidP="00732DF4">
            <w:pPr>
              <w:rPr>
                <w:sz w:val="28"/>
                <w:szCs w:val="28"/>
              </w:rPr>
            </w:pPr>
          </w:p>
          <w:p w:rsidR="00D82897" w:rsidRDefault="00D82897" w:rsidP="00732DF4">
            <w:pPr>
              <w:rPr>
                <w:sz w:val="28"/>
                <w:szCs w:val="28"/>
              </w:rPr>
            </w:pPr>
          </w:p>
          <w:p w:rsidR="00D82897" w:rsidRDefault="00D82897" w:rsidP="00732DF4">
            <w:pPr>
              <w:rPr>
                <w:sz w:val="28"/>
                <w:szCs w:val="28"/>
              </w:rPr>
            </w:pPr>
          </w:p>
          <w:p w:rsidR="00D82897" w:rsidRDefault="00D82897" w:rsidP="00732DF4">
            <w:pPr>
              <w:rPr>
                <w:sz w:val="28"/>
                <w:szCs w:val="28"/>
              </w:rPr>
            </w:pPr>
          </w:p>
          <w:p w:rsidR="00D82897" w:rsidRDefault="00D82897" w:rsidP="00732DF4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32DF4" w:rsidRDefault="00D82897" w:rsidP="00D828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1586120" cy="1317831"/>
                  <wp:effectExtent l="635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70310_09064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95707" cy="132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897" w:rsidTr="00732DF4">
        <w:trPr>
          <w:trHeight w:val="2013"/>
        </w:trPr>
        <w:tc>
          <w:tcPr>
            <w:tcW w:w="4998" w:type="dxa"/>
          </w:tcPr>
          <w:p w:rsidR="00732DF4" w:rsidRDefault="003232AA" w:rsidP="0073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NOT park on the yellow lines.  When you do it blocks the view the crossing monitors have of the road and also creates a blind spot for drivers coming to see children crossing.</w:t>
            </w:r>
          </w:p>
        </w:tc>
        <w:tc>
          <w:tcPr>
            <w:tcW w:w="4999" w:type="dxa"/>
          </w:tcPr>
          <w:p w:rsidR="00732DF4" w:rsidRDefault="00D82897" w:rsidP="00D828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1065854" cy="799371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70310_09062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1443" cy="80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897" w:rsidTr="00732DF4">
        <w:trPr>
          <w:trHeight w:val="2013"/>
        </w:trPr>
        <w:tc>
          <w:tcPr>
            <w:tcW w:w="4998" w:type="dxa"/>
          </w:tcPr>
          <w:p w:rsidR="00732DF4" w:rsidRDefault="00460B22" w:rsidP="0073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DO NOT come in the school front drive to drop off children.  There are children in this area coming and going at all times of the day.  This is a play area for children.</w:t>
            </w:r>
          </w:p>
        </w:tc>
        <w:tc>
          <w:tcPr>
            <w:tcW w:w="4999" w:type="dxa"/>
          </w:tcPr>
          <w:p w:rsidR="00732DF4" w:rsidRDefault="00D82897" w:rsidP="00D828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1019101" cy="764308"/>
                  <wp:effectExtent l="0" t="6033" r="4128" b="4127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70310_09055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3590" cy="76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DF4" w:rsidRPr="00732DF4" w:rsidRDefault="00732DF4" w:rsidP="00732DF4">
      <w:pPr>
        <w:rPr>
          <w:sz w:val="28"/>
          <w:szCs w:val="28"/>
        </w:rPr>
      </w:pPr>
    </w:p>
    <w:sectPr w:rsidR="00732DF4" w:rsidRPr="00732DF4" w:rsidSect="00D8289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2370"/>
    <w:multiLevelType w:val="hybridMultilevel"/>
    <w:tmpl w:val="B25291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14DE8"/>
    <w:multiLevelType w:val="hybridMultilevel"/>
    <w:tmpl w:val="98FEDA6C"/>
    <w:lvl w:ilvl="0" w:tplc="90C691BE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93"/>
    <w:rsid w:val="003232AA"/>
    <w:rsid w:val="0041114B"/>
    <w:rsid w:val="00460B22"/>
    <w:rsid w:val="005404DB"/>
    <w:rsid w:val="00732DF4"/>
    <w:rsid w:val="00765C93"/>
    <w:rsid w:val="00857040"/>
    <w:rsid w:val="00965F84"/>
    <w:rsid w:val="00D82897"/>
    <w:rsid w:val="00D87920"/>
    <w:rsid w:val="00E44166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2749D-AC0F-495E-AABA-47E552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2</cp:revision>
  <cp:lastPrinted>2017-03-09T23:02:00Z</cp:lastPrinted>
  <dcterms:created xsi:type="dcterms:W3CDTF">2017-06-08T10:17:00Z</dcterms:created>
  <dcterms:modified xsi:type="dcterms:W3CDTF">2017-06-08T10:17:00Z</dcterms:modified>
</cp:coreProperties>
</file>